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/>
        <w:drawing>
          <wp:inline distT="0" distB="0" distL="0" distR="0">
            <wp:extent cx="647700" cy="1076325"/>
            <wp:effectExtent l="0" t="0" r="0" b="0"/>
            <wp:docPr id="1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32"/>
          <w:szCs w:val="32"/>
          <w:lang w:eastAsia="ru-RU"/>
        </w:rPr>
      </w:pPr>
      <w:r>
        <w:rPr>
          <w:rFonts w:eastAsia="Times New Roman" w:ascii="Times New Roman" w:hAnsi="Times New Roman"/>
          <w:sz w:val="32"/>
          <w:szCs w:val="32"/>
          <w:lang w:eastAsia="ru-RU"/>
        </w:rPr>
        <w:t>КЕМЕРОВСКАЯ ОБЛАСТЬ - КУЗБАСС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caps/>
          <w:sz w:val="32"/>
          <w:szCs w:val="32"/>
          <w:lang w:eastAsia="ru-RU"/>
        </w:rPr>
      </w:pPr>
      <w:r>
        <w:rPr>
          <w:rFonts w:eastAsia="Times New Roman" w:ascii="Times New Roman" w:hAnsi="Times New Roman"/>
          <w:sz w:val="32"/>
          <w:szCs w:val="32"/>
          <w:lang w:eastAsia="ru-RU"/>
        </w:rPr>
        <w:t>НОВОКУЗНЕЦКИЙ ГОРОДСКОЙ ОКРУГ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32"/>
          <w:szCs w:val="32"/>
          <w:lang w:eastAsia="ru-RU"/>
        </w:rPr>
      </w:pPr>
      <w:r>
        <w:rPr>
          <w:rFonts w:eastAsia="Times New Roman" w:ascii="Times New Roman" w:hAnsi="Times New Roman"/>
          <w:sz w:val="32"/>
          <w:szCs w:val="32"/>
          <w:lang w:eastAsia="ru-RU"/>
        </w:rPr>
        <w:t>АДМИНИСТРАЦИЯ ГОРОДА НОВОКУЗНЕЦКА</w:t>
      </w:r>
    </w:p>
    <w:p>
      <w:pPr>
        <w:pStyle w:val="Normal"/>
        <w:pBdr>
          <w:bottom w:val="double" w:sz="4" w:space="6" w:color="000000"/>
        </w:pBdr>
        <w:spacing w:lineRule="auto" w:line="240" w:before="0" w:after="0"/>
        <w:jc w:val="center"/>
        <w:rPr>
          <w:rFonts w:ascii="Times New Roman" w:hAnsi="Times New Roman" w:eastAsia="Times New Roman"/>
          <w:sz w:val="32"/>
          <w:szCs w:val="32"/>
          <w:lang w:eastAsia="ru-RU"/>
        </w:rPr>
      </w:pPr>
      <w:r>
        <w:rPr>
          <w:rFonts w:eastAsia="Times New Roman" w:ascii="Times New Roman" w:hAnsi="Times New Roman"/>
          <w:sz w:val="32"/>
          <w:szCs w:val="32"/>
          <w:lang w:eastAsia="ru-RU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  <w:u w:val="single"/>
        </w:rPr>
        <w:t xml:space="preserve">  _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  <w:br/>
        <w:t>администрации города Новокузнецка</w:t>
        <w:br/>
        <w:t>от 18.04.2014 №61 «Об утверждении</w:t>
        <w:br/>
        <w:t>схем размещения нестационарных</w:t>
        <w:br/>
        <w:t>торговых объектов на территории</w:t>
        <w:br/>
        <w:t>Новокузнецкого городского округа»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28.12.2009 №381-ФЗ «Об основах государственного регулирования торговой деятельности в Российской Федерации», постановлением Коллегии Администрации Кемеровской области от 30.11.2010 №530 «Об установлении порядка разработки и утверждения схемы размещения нестационарных торговых объектов органом местного самоуправления, определенным в соответствии с уставом соответствующего муниципального образования, а также порядка размещения нестационарных торговых объектов на землях или земельных участках, находящихся в государственной или муниципальной собственности, государственная собственность на которые не разграничена на территории Кемеровской области-Кузбасса, без предоставления земельных участков и установления сервитута, публичного сервитута», в целях приведения правовых актов администрации города Новокузнецка в соответствие с действующим законодательством Российской Федерации, упорядочения размещения нестационарных торговых объектов на территории Новокузнецкого городского округа, руководствуясь статьей 40 Устава Новокузнецкого городского округа: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 Внести в постановление администрации города Новокузнецка</w:t>
        <w:br/>
        <w:t>от 18.04.2014 №61 «Об утверждении схем размещения нестационарных торговых объектов на территории Новокузнецкого городского округа» изменения согласно приложению к настоящему постановлению.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 Управлению потребительского рынка и развития предпринимательства администрации города Новокузнецка: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разместить изменения в схемы размещения нестационарных торговых объектов на территории Новокузнецкого городского округа, внесенные настоящим постановлением, на официальном сайте администрации города Новокузнецка в информационно-телекоммуникационной сети «Интернет»;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направить изменения в схемы размещения нестационарных торговых объектов на территории Новокузнецкого городского округа, внесенные настоящим постановлением, в Министерство промышленности и торговли Кузбасса для размещения их на официальном сайте Министерства промышленности и торговли Кузбасса в информационно-телекоммуникационной сети «Интернет».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 Управлению информационной политики и социальных коммуникаций администрации города Новокузнецка обеспечить официальное опубликование настоящего постановления.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 Настоящее постановление вступает в силу после его официального опубликования.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5. Контроль за исполнением настоящего постановления возложить на заместителя Главы города по экономическим вопросам.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85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926"/>
        <w:gridCol w:w="4926"/>
      </w:tblGrid>
      <w:tr>
        <w:trPr/>
        <w:tc>
          <w:tcPr>
            <w:tcW w:w="4926" w:type="dxa"/>
            <w:tcBorders/>
            <w:shd w:color="auto" w:fill="auto" w:val="clear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Глава города</w:t>
            </w:r>
          </w:p>
        </w:tc>
        <w:tc>
          <w:tcPr>
            <w:tcW w:w="492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Д.П. Ильин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0" w:name="ТекстовоеПоле5"/>
      <w:bookmarkStart w:id="1" w:name="ТекстовоеПоле5"/>
      <w:bookmarkEnd w:id="1"/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2" w:name="ТекстовоеПоле5_Копия_1"/>
      <w:bookmarkStart w:id="3" w:name="ТекстовоеПоле5_Копия_1"/>
      <w:bookmarkEnd w:id="3"/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  <w:br/>
        <w:t xml:space="preserve"> к постановлению администрации</w:t>
        <w:br/>
        <w:t>города Новокузнецка</w:t>
      </w:r>
    </w:p>
    <w:p>
      <w:pPr>
        <w:pStyle w:val="Normal"/>
        <w:spacing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u w:val="single"/>
        </w:rPr>
        <w:t xml:space="preserve">       _____   </w:t>
      </w:r>
      <w:r>
        <w:rPr>
          <w:rFonts w:ascii="Times New Roman" w:hAnsi="Times New Roman"/>
          <w:sz w:val="28"/>
          <w:szCs w:val="28"/>
        </w:rPr>
        <w:t xml:space="preserve"> №______</w:t>
      </w:r>
    </w:p>
    <w:p>
      <w:pPr>
        <w:pStyle w:val="Normal"/>
        <w:spacing w:lineRule="auto" w:line="240" w:before="360" w:after="2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 в постановление администрации</w:t>
        <w:br/>
        <w:t xml:space="preserve">города Новокузнецка </w:t>
      </w:r>
      <w:r>
        <w:rPr>
          <w:rFonts w:ascii="Times New Roman" w:hAnsi="Times New Roman"/>
          <w:bCs/>
          <w:sz w:val="28"/>
          <w:szCs w:val="28"/>
        </w:rPr>
        <w:t>от 18.04.2014 №61 «Об утверждении</w:t>
        <w:br/>
        <w:t>схем размещения нестационарных торговых объектов</w:t>
        <w:br/>
        <w:t>на территории Новокузнецкого городского округа»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1. В приложении №1 «Схема размещения нестационарных торговых объектов на территории Центрального района Новокузнецкого городского округа»: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 xml:space="preserve">1.1. Раздел </w:t>
      </w:r>
      <w:r>
        <w:rPr>
          <w:rFonts w:ascii="Tinos" w:hAnsi="Tinos"/>
          <w:color w:val="000000"/>
          <w:sz w:val="28"/>
          <w:szCs w:val="28"/>
          <w:lang w:val="en-US"/>
        </w:rPr>
        <w:t>I</w:t>
      </w:r>
      <w:r>
        <w:rPr>
          <w:rFonts w:ascii="Tinos" w:hAnsi="Tinos"/>
          <w:color w:val="000000"/>
          <w:sz w:val="28"/>
          <w:szCs w:val="28"/>
        </w:rPr>
        <w:t xml:space="preserve"> «Текстовая часть» дополнить строкой 545 следующего содержания: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«</w:t>
      </w:r>
    </w:p>
    <w:tbl>
      <w:tblPr>
        <w:tblW w:w="9468" w:type="dxa"/>
        <w:jc w:val="left"/>
        <w:tblInd w:w="99" w:type="dxa"/>
        <w:tblLayout w:type="fixed"/>
        <w:tblCellMar>
          <w:top w:w="62" w:type="dxa"/>
          <w:left w:w="108" w:type="dxa"/>
          <w:bottom w:w="62" w:type="dxa"/>
          <w:right w:w="108" w:type="dxa"/>
        </w:tblCellMar>
        <w:tblLook w:val="04a0" w:noHBand="0" w:noVBand="1" w:firstColumn="1" w:lastRow="0" w:lastColumn="0" w:firstRow="1"/>
      </w:tblPr>
      <w:tblGrid>
        <w:gridCol w:w="811"/>
        <w:gridCol w:w="1980"/>
        <w:gridCol w:w="620"/>
        <w:gridCol w:w="565"/>
        <w:gridCol w:w="1418"/>
        <w:gridCol w:w="2270"/>
        <w:gridCol w:w="1803"/>
      </w:tblGrid>
      <w:tr>
        <w:trPr/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545.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nos" w:hAnsi="Tinos"/>
              </w:rPr>
            </w:pPr>
            <w:r>
              <w:rPr>
                <w:rFonts w:eastAsia="Calibri" w:ascii="Tinos" w:hAnsi="Tinos"/>
                <w:color w:val="000000"/>
                <w:sz w:val="28"/>
                <w:szCs w:val="28"/>
              </w:rPr>
              <w:t>проспект Кузнецкстроевский, севернее многоквартирного жилого дома №36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торговый павильон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специализированная (продажа продовольственных товаров и сельскохозяйственной продукции)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1482" w:leader="none"/>
              </w:tabs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субъекты малого или среднего предпринимательства, самозанятые граждане</w:t>
            </w:r>
          </w:p>
        </w:tc>
      </w:tr>
    </w:tbl>
    <w:p>
      <w:pPr>
        <w:pStyle w:val="Normal"/>
        <w:spacing w:lineRule="auto" w:line="240" w:before="0" w:after="0"/>
        <w:ind w:firstLine="567"/>
        <w:jc w:val="right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 xml:space="preserve">1.2. Раздел </w:t>
      </w:r>
      <w:r>
        <w:rPr>
          <w:rFonts w:ascii="Tinos" w:hAnsi="Tinos"/>
          <w:color w:val="000000"/>
          <w:sz w:val="28"/>
          <w:szCs w:val="28"/>
          <w:lang w:val="en-US"/>
        </w:rPr>
        <w:t>II</w:t>
      </w:r>
      <w:r>
        <w:rPr>
          <w:rFonts w:ascii="Tinos" w:hAnsi="Tinos"/>
          <w:color w:val="000000"/>
          <w:sz w:val="28"/>
          <w:szCs w:val="28"/>
        </w:rPr>
        <w:t xml:space="preserve"> «Графическая часть» дополнить таблицей и схемой места размещения с условными обозначениями порядкового номера пункта 545 текстового раздела схемы следующего содержания: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«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84"/>
        <w:gridCol w:w="3552"/>
      </w:tblGrid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545</w:t>
            </w:r>
          </w:p>
        </w:tc>
      </w:tr>
      <w:tr>
        <w:trPr>
          <w:trHeight w:val="440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Адресные ориентиры размещения нестационарного сезонного объекта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проспект Кузнецкстроевский, севернее многоквартирного жилого дома №36)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размещения нестационарного сезонного объекта торговли (кв.м)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сезонного объекта торговли (кв.м)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специализированная (продажа продовольственных товаров и сельскохозяйственной продукции)</w:t>
            </w:r>
          </w:p>
        </w:tc>
      </w:tr>
      <w:tr>
        <w:trPr>
          <w:trHeight w:val="1160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Информация об использовании нестационарного сезонного объекта торговли субъектами малого или среднего предпринимательства, осуществляющими торговую деятельность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субъекты малого или среднего предпринимательства, самозанятые граждане</w:t>
            </w:r>
          </w:p>
        </w:tc>
      </w:tr>
    </w:tbl>
    <w:p>
      <w:pPr>
        <w:pStyle w:val="Normal"/>
        <w:ind w:right="-1"/>
        <w:rPr>
          <w:rFonts w:ascii="Calibri" w:hAnsi="Calibri" w:eastAsia="Calibri"/>
          <w:lang w:eastAsia="ru-RU"/>
        </w:rPr>
      </w:pPr>
      <w:r>
        <w:rPr>
          <w:rFonts w:eastAsia="Calibri"/>
          <w:lang w:eastAsia="ru-RU"/>
        </w:rPr>
      </w:r>
    </w:p>
    <w:p>
      <w:pPr>
        <w:pStyle w:val="Normal"/>
        <w:ind w:right="-1"/>
        <w:jc w:val="center"/>
        <w:rPr>
          <w:rFonts w:ascii="Calibri" w:hAnsi="Calibri" w:eastAsia="Calibri"/>
        </w:rPr>
      </w:pPr>
      <w:r>
        <w:rPr/>
        <w:drawing>
          <wp:inline distT="0" distB="0" distL="0" distR="0">
            <wp:extent cx="5943600" cy="3495675"/>
            <wp:effectExtent l="0" t="0" r="0" b="0"/>
            <wp:docPr id="2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964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544"/>
        <w:gridCol w:w="6095"/>
      </w:tblGrid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Условные обозначения:</w: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6350" distB="6350" distL="6350" distR="6350" simplePos="0" locked="0" layoutInCell="1" allowOverlap="1" relativeHeight="15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101600</wp:posOffset>
                      </wp:positionV>
                      <wp:extent cx="763270" cy="0"/>
                      <wp:effectExtent l="6350" t="6350" r="6350" b="6350"/>
                      <wp:wrapNone/>
                      <wp:docPr id="3" name="Фигура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0" cy="0"/>
                              </a:xfrm>
                              <a:prstGeom prst="line">
                                <a:avLst/>
                              </a:prstGeom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.5pt,8pt" to="64.55pt,8pt" ID="Фигура1" stroked="t" o:allowincell="f" style="position:absolute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граница места размещения нестационарного сезонного объекта торговли</w:t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45720" distB="45085" distL="0" distR="635" simplePos="0" locked="0" layoutInCell="1" allowOverlap="1" relativeHeight="16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314960</wp:posOffset>
                      </wp:positionV>
                      <wp:extent cx="795020" cy="635"/>
                      <wp:effectExtent l="0" t="45720" r="635" b="45085"/>
                      <wp:wrapNone/>
                      <wp:docPr id="4" name="Фигура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488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560">
                                <a:solidFill>
                                  <a:srgbClr val="000000"/>
                                </a:solidFill>
                                <a:round/>
                                <a:headEnd len="med" type="arrow" w="med"/>
                                <a:tailEnd len="med" type="arrow" w="me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ID="Фигура2" path="m0,0l-2147483648,-2147483647e" stroked="t" o:allowincell="f" style="position:absolute;margin-left:2pt;margin-top:24.8pt;width:62.55pt;height:0pt;mso-wrap-style:none;v-text-anchor:middle" type="_x0000_t32">
                      <v:fill o:detectmouseclick="t" on="false"/>
                      <v:stroke color="black" weight="25560" startarrow="open" endarrow="open" startarrowwidth="medium" startarrowlength="medium" endarrowwidth="medium" endarrowlength="medium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строительства.</w:t>
            </w:r>
          </w:p>
        </w:tc>
      </w:tr>
    </w:tbl>
    <w:p>
      <w:pPr>
        <w:pStyle w:val="Normal"/>
        <w:spacing w:lineRule="auto" w:line="240" w:before="0" w:after="0"/>
        <w:ind w:firstLine="709"/>
        <w:jc w:val="right"/>
        <w:rPr>
          <w:rFonts w:ascii="Tinos" w:hAnsi="Tinos"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2. В приложении №2 «Схема размещения нестационарных торговых объектов на территории Куйбышевского района Новокузнецкого городского округа»: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 xml:space="preserve">2.1. Раздел </w:t>
      </w:r>
      <w:r>
        <w:rPr>
          <w:rFonts w:ascii="Tinos" w:hAnsi="Tinos"/>
          <w:color w:val="000000"/>
          <w:sz w:val="28"/>
          <w:szCs w:val="28"/>
          <w:lang w:val="en-US"/>
        </w:rPr>
        <w:t>I</w:t>
      </w:r>
      <w:r>
        <w:rPr>
          <w:rFonts w:ascii="Tinos" w:hAnsi="Tinos"/>
          <w:color w:val="000000"/>
          <w:sz w:val="28"/>
          <w:szCs w:val="28"/>
        </w:rPr>
        <w:t xml:space="preserve"> «Текстовая часть» дополнить строкой 262 следующего содержания: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«</w:t>
      </w:r>
    </w:p>
    <w:tbl>
      <w:tblPr>
        <w:tblW w:w="9446" w:type="dxa"/>
        <w:jc w:val="left"/>
        <w:tblInd w:w="160" w:type="dxa"/>
        <w:tblLayout w:type="fixed"/>
        <w:tblCellMar>
          <w:top w:w="62" w:type="dxa"/>
          <w:left w:w="108" w:type="dxa"/>
          <w:bottom w:w="62" w:type="dxa"/>
          <w:right w:w="108" w:type="dxa"/>
        </w:tblCellMar>
        <w:tblLook w:val="04a0" w:noHBand="0" w:noVBand="1" w:firstColumn="1" w:lastRow="0" w:lastColumn="0" w:firstRow="1"/>
      </w:tblPr>
      <w:tblGrid>
        <w:gridCol w:w="750"/>
        <w:gridCol w:w="1978"/>
        <w:gridCol w:w="693"/>
        <w:gridCol w:w="630"/>
        <w:gridCol w:w="1425"/>
        <w:gridCol w:w="2128"/>
        <w:gridCol w:w="1841"/>
      </w:tblGrid>
      <w:tr>
        <w:trPr/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262.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nos" w:hAnsi="Tinos"/>
              </w:rPr>
            </w:pPr>
            <w:r>
              <w:rPr>
                <w:rFonts w:eastAsia="Calibri" w:ascii="Tinos" w:hAnsi="Tinos"/>
                <w:color w:val="000000"/>
                <w:sz w:val="28"/>
                <w:szCs w:val="28"/>
              </w:rPr>
              <w:t>улица Лесная,8Г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60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торговый павильон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универсальная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1482" w:leader="none"/>
              </w:tabs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субъекты малого или среднего предпринимательства, самозанятые граждане</w:t>
            </w:r>
          </w:p>
        </w:tc>
      </w:tr>
    </w:tbl>
    <w:p>
      <w:pPr>
        <w:pStyle w:val="Normal"/>
        <w:spacing w:lineRule="auto" w:line="240" w:before="0" w:after="0"/>
        <w:ind w:firstLine="567"/>
        <w:jc w:val="right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2.2. Раздел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/>
          <w:color w:val="000000"/>
          <w:sz w:val="28"/>
          <w:szCs w:val="28"/>
        </w:rPr>
        <w:t xml:space="preserve"> «Графическая часть» дополнить таблицей и схемой места размещения с условными обозначениями порядкового номера пункта 262 текстового раздела схемы следующего содержания: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84"/>
        <w:gridCol w:w="3552"/>
      </w:tblGrid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262</w:t>
            </w:r>
          </w:p>
        </w:tc>
      </w:tr>
      <w:tr>
        <w:trPr>
          <w:trHeight w:val="440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Адресные ориентиры размещения нестационарного сезонного объекта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улица Лесная,8Г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размещения нестационарного сезонного объекта торговли (кв.м)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сезонного объекта торговли (кв.м)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универсальная</w:t>
            </w:r>
          </w:p>
        </w:tc>
      </w:tr>
      <w:tr>
        <w:trPr>
          <w:trHeight w:val="1160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Информация об использовании нестационарного сезонного объекта торговли субъектами малого или среднего предпринимательства, осуществляющими торговую деятельность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субъекты малого или среднего предпринимательства, самозанятые граждане</w:t>
            </w:r>
          </w:p>
        </w:tc>
      </w:tr>
    </w:tbl>
    <w:p>
      <w:pPr>
        <w:pStyle w:val="Normal"/>
        <w:ind w:right="-1"/>
        <w:rPr>
          <w:rFonts w:ascii="Calibri" w:hAnsi="Calibri" w:eastAsia="Calibri"/>
          <w:lang w:eastAsia="ru-RU"/>
        </w:rPr>
      </w:pPr>
      <w:r>
        <w:rPr>
          <w:rFonts w:eastAsia="Calibri"/>
          <w:lang w:eastAsia="ru-RU"/>
        </w:rPr>
      </w:r>
    </w:p>
    <w:p>
      <w:pPr>
        <w:pStyle w:val="Normal"/>
        <w:ind w:right="-1"/>
        <w:rPr>
          <w:rFonts w:ascii="Calibri" w:hAnsi="Calibri" w:eastAsia="Calibri"/>
          <w:lang w:eastAsia="ru-RU"/>
        </w:rPr>
      </w:pPr>
      <w:r>
        <w:rPr/>
        <w:drawing>
          <wp:inline distT="0" distB="0" distL="0" distR="0">
            <wp:extent cx="5943600" cy="5438775"/>
            <wp:effectExtent l="0" t="0" r="0" b="0"/>
            <wp:docPr id="5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3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964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544"/>
        <w:gridCol w:w="6095"/>
      </w:tblGrid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Условные обозначения:</w: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6350" distB="6350" distL="6350" distR="6350" simplePos="0" locked="0" layoutInCell="1" allowOverlap="1" relativeHeight="17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101600</wp:posOffset>
                      </wp:positionV>
                      <wp:extent cx="763270" cy="0"/>
                      <wp:effectExtent l="6350" t="6350" r="6350" b="6350"/>
                      <wp:wrapNone/>
                      <wp:docPr id="6" name="Фигура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0" cy="0"/>
                              </a:xfrm>
                              <a:prstGeom prst="line">
                                <a:avLst/>
                              </a:prstGeom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.5pt,8pt" to="64.55pt,8pt" ID="Фигура3" stroked="t" o:allowincell="f" style="position:absolute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граница места размещения нестационарного сезонного объекта торговли</w:t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45720" distB="45085" distL="0" distR="635" simplePos="0" locked="0" layoutInCell="1" allowOverlap="1" relativeHeight="18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314960</wp:posOffset>
                      </wp:positionV>
                      <wp:extent cx="795020" cy="635"/>
                      <wp:effectExtent l="0" t="45720" r="635" b="45085"/>
                      <wp:wrapNone/>
                      <wp:docPr id="7" name="Фигура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488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560">
                                <a:solidFill>
                                  <a:srgbClr val="000000"/>
                                </a:solidFill>
                                <a:round/>
                                <a:headEnd len="med" type="arrow" w="med"/>
                                <a:tailEnd len="med" type="arrow" w="me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Фигура4" path="m0,0l-2147483648,-2147483647e" stroked="t" o:allowincell="f" style="position:absolute;margin-left:2pt;margin-top:24.8pt;width:62.55pt;height:0pt;mso-wrap-style:none;v-text-anchor:middle" type="_x0000_t32">
                      <v:fill o:detectmouseclick="t" on="false"/>
                      <v:stroke color="black" weight="25560" startarrow="open" endarrow="open" startarrowwidth="medium" startarrowlength="medium" endarrowwidth="medium" endarrowlength="medium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строительства.</w:t>
            </w:r>
          </w:p>
        </w:tc>
      </w:tr>
    </w:tbl>
    <w:p>
      <w:pPr>
        <w:pStyle w:val="Normal"/>
        <w:spacing w:lineRule="auto" w:line="240" w:before="0" w:after="0"/>
        <w:ind w:firstLine="709"/>
        <w:jc w:val="right"/>
        <w:rPr>
          <w:rFonts w:ascii="Tinos" w:hAnsi="Tinos"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 xml:space="preserve">3. В приложении №5 «Схема размещения нестационарных торговых объектов на территории Заводского района Новокузнецкого городского округа»: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3.1. В разделе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 xml:space="preserve"> «Текстовая часть»: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 пункты 40, 77, 111 и 115 признать утратившими силу;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2) дополнить строкой 189 следующего содержания: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«</w:t>
      </w:r>
    </w:p>
    <w:tbl>
      <w:tblPr>
        <w:tblW w:w="9408" w:type="dxa"/>
        <w:jc w:val="left"/>
        <w:tblInd w:w="160" w:type="dxa"/>
        <w:tblLayout w:type="fixed"/>
        <w:tblCellMar>
          <w:top w:w="62" w:type="dxa"/>
          <w:left w:w="108" w:type="dxa"/>
          <w:bottom w:w="62" w:type="dxa"/>
          <w:right w:w="108" w:type="dxa"/>
        </w:tblCellMar>
        <w:tblLook w:val="04a0" w:noHBand="0" w:noVBand="1" w:firstColumn="1" w:lastRow="0" w:lastColumn="0" w:firstRow="1"/>
      </w:tblPr>
      <w:tblGrid>
        <w:gridCol w:w="748"/>
        <w:gridCol w:w="1983"/>
        <w:gridCol w:w="688"/>
        <w:gridCol w:w="632"/>
        <w:gridCol w:w="1498"/>
        <w:gridCol w:w="2053"/>
        <w:gridCol w:w="1805"/>
      </w:tblGrid>
      <w:tr>
        <w:trPr/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189.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nos" w:hAnsi="Tinos"/>
              </w:rPr>
            </w:pPr>
            <w:r>
              <w:rPr>
                <w:rFonts w:eastAsia="Calibri" w:ascii="Tinos" w:hAnsi="Tinos"/>
                <w:color w:val="000000"/>
                <w:sz w:val="28"/>
                <w:szCs w:val="28"/>
              </w:rPr>
              <w:t>улица Тореза,95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41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торговый павильон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универсальная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1482" w:leader="none"/>
              </w:tabs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субъекты малого или среднего предпринимательства, самозанятые граждане</w:t>
            </w:r>
          </w:p>
        </w:tc>
      </w:tr>
    </w:tbl>
    <w:p>
      <w:pPr>
        <w:pStyle w:val="Normal"/>
        <w:spacing w:lineRule="auto" w:line="240" w:before="0" w:after="0"/>
        <w:ind w:firstLine="567"/>
        <w:jc w:val="right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color w:val="000000"/>
        </w:rPr>
      </w:pPr>
      <w:r>
        <w:rPr>
          <w:rFonts w:ascii="Tinos" w:hAnsi="Tinos"/>
          <w:color w:val="000000"/>
          <w:sz w:val="28"/>
          <w:szCs w:val="28"/>
        </w:rPr>
        <w:t xml:space="preserve">3.2. В разделе </w:t>
      </w:r>
      <w:r>
        <w:rPr>
          <w:rFonts w:ascii="Tinos" w:hAnsi="Tinos"/>
          <w:color w:val="000000"/>
          <w:sz w:val="28"/>
          <w:szCs w:val="28"/>
          <w:lang w:val="en-US"/>
        </w:rPr>
        <w:t>II</w:t>
      </w:r>
      <w:r>
        <w:rPr>
          <w:rFonts w:ascii="Tinos" w:hAnsi="Tinos"/>
          <w:color w:val="000000"/>
          <w:sz w:val="28"/>
          <w:szCs w:val="28"/>
        </w:rPr>
        <w:t xml:space="preserve"> «Графическая часть»</w:t>
      </w:r>
      <w:r>
        <w:rPr>
          <w:rFonts w:ascii="Times New Roman" w:hAnsi="Times New Roman"/>
          <w:color w:val="000000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 xml:space="preserve">1) </w:t>
      </w:r>
      <w:r>
        <w:rPr>
          <w:rFonts w:ascii="Times New Roman" w:hAnsi="Times New Roman"/>
          <w:color w:val="000000"/>
          <w:sz w:val="28"/>
          <w:szCs w:val="28"/>
        </w:rPr>
        <w:t>таблицы и схемы мест размещения с условными обозначениями порядковых номеров пунктов 40, 77, 111 и 115 текстового раздела схемы признать утратившими силу;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дополнить таблицей и схемой места размещения с условными обозначениями порядкового номера пункта 189 текстового раздела схемы следующего содержания: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7"/>
        <w:gridCol w:w="3959"/>
      </w:tblGrid>
      <w:tr>
        <w:trPr>
          <w:trHeight w:val="281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189</w:t>
            </w:r>
          </w:p>
        </w:tc>
      </w:tr>
      <w:tr>
        <w:trPr>
          <w:trHeight w:val="440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Адресные ориентиры размещения нестационарного сезонного объекта торговли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улица Тореза, 95</w:t>
            </w:r>
          </w:p>
        </w:tc>
      </w:tr>
      <w:tr>
        <w:trPr>
          <w:trHeight w:val="281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размещения нестационарного сезонного объекта торговли (кв.м)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</w:tr>
      <w:tr>
        <w:trPr>
          <w:trHeight w:val="281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сезонного объекта торговли (кв.м)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</w:tr>
      <w:tr>
        <w:trPr>
          <w:trHeight w:val="281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>
        <w:trPr>
          <w:trHeight w:val="281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универсальная</w:t>
            </w:r>
          </w:p>
        </w:tc>
      </w:tr>
      <w:tr>
        <w:trPr>
          <w:trHeight w:val="1160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Информация об использовании нестационарного сезонного объекта торговли субъектами малого или среднего предпринимательства, осуществляющими торговую деятельность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субъекты малого или среднего предпринимательства, самозанятые граждане</w:t>
            </w:r>
          </w:p>
        </w:tc>
      </w:tr>
    </w:tbl>
    <w:p>
      <w:pPr>
        <w:pStyle w:val="Normal"/>
        <w:ind w:right="-1"/>
        <w:rPr>
          <w:rFonts w:ascii="Calibri" w:hAnsi="Calibri" w:eastAsia="Calibri"/>
          <w:lang w:eastAsia="ru-RU"/>
        </w:rPr>
      </w:pPr>
      <w:r>
        <w:rPr>
          <w:rFonts w:eastAsia="Calibri"/>
          <w:lang w:eastAsia="ru-RU"/>
        </w:rPr>
      </w:r>
    </w:p>
    <w:p>
      <w:pPr>
        <w:pStyle w:val="Normal"/>
        <w:spacing w:lineRule="auto" w:line="240" w:before="0" w:after="120"/>
        <w:jc w:val="center"/>
        <w:rPr>
          <w:rFonts w:ascii="Calibri" w:hAnsi="Calibri" w:eastAsia="Calibri"/>
        </w:rPr>
      </w:pPr>
      <w:r>
        <w:rPr/>
        <w:drawing>
          <wp:inline distT="0" distB="0" distL="0" distR="0">
            <wp:extent cx="5772150" cy="3981450"/>
            <wp:effectExtent l="0" t="0" r="0" b="0"/>
            <wp:docPr id="8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398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120"/>
        <w:jc w:val="center"/>
        <w:rPr>
          <w:rFonts w:ascii="Calibri" w:hAnsi="Calibri" w:eastAsia="Calibri"/>
        </w:rPr>
      </w:pPr>
      <w:r>
        <w:rPr>
          <w:rFonts w:eastAsia="Calibri"/>
        </w:rPr>
      </w:r>
    </w:p>
    <w:tbl>
      <w:tblPr>
        <w:tblW w:w="964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544"/>
        <w:gridCol w:w="6095"/>
      </w:tblGrid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Условные обозначения:</w: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6350" distB="6350" distL="6350" distR="6350" simplePos="0" locked="0" layoutInCell="1" allowOverlap="1" relativeHeight="19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101600</wp:posOffset>
                      </wp:positionV>
                      <wp:extent cx="763270" cy="0"/>
                      <wp:effectExtent l="6350" t="6350" r="6350" b="6350"/>
                      <wp:wrapNone/>
                      <wp:docPr id="9" name="Фигура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0" cy="0"/>
                              </a:xfrm>
                              <a:prstGeom prst="line">
                                <a:avLst/>
                              </a:prstGeom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.5pt,8pt" to="64.55pt,8pt" ID="Фигура5" stroked="t" o:allowincell="f" style="position:absolute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граница места размещения нестационарного сезонного объекта торговли</w:t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45720" distB="45085" distL="0" distR="635" simplePos="0" locked="0" layoutInCell="1" allowOverlap="1" relativeHeight="20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314960</wp:posOffset>
                      </wp:positionV>
                      <wp:extent cx="795020" cy="635"/>
                      <wp:effectExtent l="0" t="45720" r="635" b="45085"/>
                      <wp:wrapNone/>
                      <wp:docPr id="10" name="Фигура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488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560">
                                <a:solidFill>
                                  <a:srgbClr val="000000"/>
                                </a:solidFill>
                                <a:round/>
                                <a:headEnd len="med" type="arrow" w="med"/>
                                <a:tailEnd len="med" type="arrow" w="me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Фигура6" path="m0,0l-2147483648,-2147483647e" stroked="t" o:allowincell="f" style="position:absolute;margin-left:2pt;margin-top:24.8pt;width:62.55pt;height:0pt;mso-wrap-style:none;v-text-anchor:middle" type="_x0000_t32">
                      <v:fill o:detectmouseclick="t" on="false"/>
                      <v:stroke color="black" weight="25560" startarrow="open" endarrow="open" startarrowwidth="medium" startarrowlength="medium" endarrowwidth="medium" endarrowlength="medium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строительства.</w:t>
            </w:r>
          </w:p>
        </w:tc>
      </w:tr>
    </w:tbl>
    <w:p>
      <w:pPr>
        <w:pStyle w:val="Normal"/>
        <w:spacing w:lineRule="auto" w:line="240" w:before="0" w:after="0"/>
        <w:ind w:firstLine="709"/>
        <w:jc w:val="right"/>
        <w:rPr>
          <w:rFonts w:ascii="Tinos" w:hAnsi="Tinos"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 xml:space="preserve">4. В приложении №6 «Схема размещения нестационарных торговых объектов на территории Орджоникидзевского района Новокузнецкого городского округа»: 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 xml:space="preserve">4.1. Раздел </w:t>
      </w:r>
      <w:r>
        <w:rPr>
          <w:rFonts w:ascii="Tinos" w:hAnsi="Tinos"/>
          <w:color w:val="000000"/>
          <w:sz w:val="28"/>
          <w:szCs w:val="28"/>
          <w:lang w:val="en-US"/>
        </w:rPr>
        <w:t>I</w:t>
      </w:r>
      <w:r>
        <w:rPr>
          <w:rFonts w:ascii="Tinos" w:hAnsi="Tinos"/>
          <w:color w:val="000000"/>
          <w:sz w:val="28"/>
          <w:szCs w:val="28"/>
        </w:rPr>
        <w:t xml:space="preserve"> «Текстовая часть» дополнить строкой 155 следующего содержания: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«</w:t>
      </w:r>
    </w:p>
    <w:tbl>
      <w:tblPr>
        <w:tblW w:w="9393" w:type="dxa"/>
        <w:jc w:val="left"/>
        <w:tblInd w:w="175" w:type="dxa"/>
        <w:tblLayout w:type="fixed"/>
        <w:tblCellMar>
          <w:top w:w="62" w:type="dxa"/>
          <w:left w:w="108" w:type="dxa"/>
          <w:bottom w:w="62" w:type="dxa"/>
          <w:right w:w="108" w:type="dxa"/>
        </w:tblCellMar>
        <w:tblLook w:val="04a0" w:noHBand="0" w:noVBand="1" w:firstColumn="1" w:lastRow="0" w:lastColumn="0" w:firstRow="1"/>
      </w:tblPr>
      <w:tblGrid>
        <w:gridCol w:w="734"/>
        <w:gridCol w:w="1980"/>
        <w:gridCol w:w="690"/>
        <w:gridCol w:w="765"/>
        <w:gridCol w:w="1427"/>
        <w:gridCol w:w="1991"/>
        <w:gridCol w:w="1805"/>
      </w:tblGrid>
      <w:tr>
        <w:trPr/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155.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nos" w:hAnsi="Tinos"/>
              </w:rPr>
            </w:pPr>
            <w:r>
              <w:rPr>
                <w:rFonts w:eastAsia="Calibri" w:ascii="Tinos" w:hAnsi="Tinos"/>
                <w:color w:val="000000"/>
                <w:sz w:val="28"/>
                <w:szCs w:val="28"/>
              </w:rPr>
              <w:t>улица Гродненская северо-восточнее земельного участка №25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торговый павильон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универсальная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1482" w:leader="none"/>
              </w:tabs>
              <w:spacing w:lineRule="auto" w:line="240" w:before="0" w:after="0"/>
              <w:rPr>
                <w:rFonts w:ascii="Tinos" w:hAnsi="Tinos"/>
                <w:sz w:val="28"/>
                <w:szCs w:val="28"/>
              </w:rPr>
            </w:pPr>
            <w:r>
              <w:rPr>
                <w:rFonts w:ascii="Tinos" w:hAnsi="Tinos"/>
                <w:color w:val="000000"/>
                <w:sz w:val="28"/>
                <w:szCs w:val="28"/>
              </w:rPr>
              <w:t>субъекты малого или среднего предпринимательства, самозанятые граждане</w:t>
            </w:r>
          </w:p>
        </w:tc>
      </w:tr>
    </w:tbl>
    <w:p>
      <w:pPr>
        <w:pStyle w:val="Normal"/>
        <w:spacing w:lineRule="auto" w:line="240" w:before="0" w:after="0"/>
        <w:ind w:firstLine="567"/>
        <w:jc w:val="right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4.2. Раздел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/>
          <w:color w:val="000000"/>
          <w:sz w:val="28"/>
          <w:szCs w:val="28"/>
        </w:rPr>
        <w:t xml:space="preserve"> «Графическая часть» дополнить таблицей и схемой места размещения с условными обозначениями порядкового номера пункта 155 текстового раздела схемы следующего содержания: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nos" w:hAnsi="Tinos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7"/>
        <w:gridCol w:w="3959"/>
      </w:tblGrid>
      <w:tr>
        <w:trPr>
          <w:trHeight w:val="281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155</w:t>
            </w:r>
          </w:p>
        </w:tc>
      </w:tr>
      <w:tr>
        <w:trPr>
          <w:trHeight w:val="440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Адресные ориентиры размещения нестационарного сезонного объекта торговли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улица Гродненская северо-восточнее земельного участка №25</w:t>
            </w:r>
          </w:p>
        </w:tc>
      </w:tr>
      <w:tr>
        <w:trPr>
          <w:trHeight w:val="281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размещения нестационарного сезонного объекта торговли (кв.м)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>
        <w:trPr>
          <w:trHeight w:val="281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сезонного объекта торговли (кв.м)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</w:tr>
      <w:tr>
        <w:trPr>
          <w:trHeight w:val="281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торговый павильон</w:t>
            </w:r>
          </w:p>
        </w:tc>
      </w:tr>
      <w:tr>
        <w:trPr>
          <w:trHeight w:val="281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универсальная</w:t>
            </w:r>
          </w:p>
        </w:tc>
      </w:tr>
      <w:tr>
        <w:trPr>
          <w:trHeight w:val="1160" w:hRule="atLeast"/>
        </w:trPr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Информация об использовании нестационарного сезонного объекта торговли субъектами малого или среднего предпринимательства, осуществляющими торговую деятельность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субъекты малого или среднего предпринимательства, самозанятые граждане</w:t>
            </w:r>
          </w:p>
        </w:tc>
      </w:tr>
    </w:tbl>
    <w:p>
      <w:pPr>
        <w:pStyle w:val="Normal"/>
        <w:ind w:right="-1"/>
        <w:rPr>
          <w:rFonts w:ascii="Calibri" w:hAnsi="Calibri" w:eastAsia="Calibri"/>
          <w:lang w:eastAsia="ru-RU"/>
        </w:rPr>
      </w:pPr>
      <w:r>
        <w:rPr>
          <w:rFonts w:eastAsia="Calibri"/>
          <w:lang w:eastAsia="ru-RU"/>
        </w:rPr>
      </w:r>
    </w:p>
    <w:p>
      <w:pPr>
        <w:pStyle w:val="Normal"/>
        <w:ind w:right="-1"/>
        <w:jc w:val="center"/>
        <w:rPr>
          <w:rFonts w:ascii="Calibri" w:hAnsi="Calibri" w:eastAsia="Calibri"/>
        </w:rPr>
      </w:pPr>
      <w:r>
        <w:rPr/>
        <w:drawing>
          <wp:inline distT="0" distB="0" distL="0" distR="0">
            <wp:extent cx="5934075" cy="3162300"/>
            <wp:effectExtent l="0" t="0" r="0" b="0"/>
            <wp:docPr id="11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6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ind w:right="-1"/>
        <w:jc w:val="center"/>
        <w:rPr>
          <w:rFonts w:ascii="Calibri" w:hAnsi="Calibri" w:eastAsia="Calibri"/>
        </w:rPr>
      </w:pPr>
      <w:r>
        <w:rPr>
          <w:rFonts w:eastAsia="Calibri"/>
        </w:rPr>
      </w:r>
    </w:p>
    <w:tbl>
      <w:tblPr>
        <w:tblW w:w="964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544"/>
        <w:gridCol w:w="6095"/>
      </w:tblGrid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Условные обозначения:</w: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6350" distB="6350" distL="6350" distR="6350" simplePos="0" locked="0" layoutInCell="1" allowOverlap="1" relativeHeight="13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101600</wp:posOffset>
                      </wp:positionV>
                      <wp:extent cx="763270" cy="0"/>
                      <wp:effectExtent l="6350" t="6350" r="6350" b="6350"/>
                      <wp:wrapNone/>
                      <wp:docPr id="12" name="Фигура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0" cy="0"/>
                              </a:xfrm>
                              <a:prstGeom prst="line">
                                <a:avLst/>
                              </a:prstGeom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.5pt,8pt" to="64.55pt,8pt" ID="Фигура7" stroked="t" o:allowincell="f" style="position:absolute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граница места размещения нестационарного сезонного объекта торговли</w:t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45720" distB="45085" distL="0" distR="635" simplePos="0" locked="0" layoutInCell="1" allowOverlap="1" relativeHeight="14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314960</wp:posOffset>
                      </wp:positionV>
                      <wp:extent cx="795020" cy="635"/>
                      <wp:effectExtent l="0" t="45720" r="635" b="45085"/>
                      <wp:wrapNone/>
                      <wp:docPr id="13" name="Фигура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488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560">
                                <a:solidFill>
                                  <a:srgbClr val="000000"/>
                                </a:solidFill>
                                <a:round/>
                                <a:headEnd len="med" type="arrow" w="med"/>
                                <a:tailEnd len="med" type="arrow" w="me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Фигура8" path="m0,0l-2147483648,-2147483647e" stroked="t" o:allowincell="f" style="position:absolute;margin-left:2pt;margin-top:24.8pt;width:62.55pt;height:0pt;mso-wrap-style:none;v-text-anchor:middle" type="_x0000_t32">
                      <v:fill o:detectmouseclick="t" on="false"/>
                      <v:stroke color="black" weight="25560" startarrow="open" endarrow="open" startarrowwidth="medium" startarrowlength="medium" endarrowwidth="medium" endarrowlength="medium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строительства.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».</w:t>
      </w:r>
    </w:p>
    <w:p>
      <w:pPr>
        <w:pStyle w:val="Normal"/>
        <w:spacing w:lineRule="auto" w:line="240" w:before="0" w:after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 В приложении №7 «Схема размещения сезонных нестационарных торговых объектов на территории Новокузнецкого городского округа»: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5.1. В разделе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 xml:space="preserve"> «Текстовая часть»: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 раздел «Куйбышевский район» таблицы дополнить строками 34, 35 следующего содержания:</w:t>
      </w:r>
    </w:p>
    <w:p>
      <w:pPr>
        <w:pStyle w:val="Normal"/>
        <w:spacing w:lineRule="auto" w:line="240" w:before="0" w:after="0"/>
        <w:ind w:hanging="426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</w:p>
    <w:tbl>
      <w:tblPr>
        <w:tblW w:w="10485" w:type="dxa"/>
        <w:jc w:val="left"/>
        <w:tblInd w:w="-438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noHBand="0" w:noVBand="0" w:firstColumn="0" w:lastRow="0" w:lastColumn="0" w:firstRow="0"/>
      </w:tblPr>
      <w:tblGrid>
        <w:gridCol w:w="631"/>
        <w:gridCol w:w="2084"/>
        <w:gridCol w:w="570"/>
        <w:gridCol w:w="510"/>
        <w:gridCol w:w="1248"/>
        <w:gridCol w:w="1979"/>
        <w:gridCol w:w="1136"/>
        <w:gridCol w:w="2325"/>
      </w:tblGrid>
      <w:tr>
        <w:trPr/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34.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подъем Редаковский, 10 (Редаковское кладбище)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торговая палатка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универсальная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апрель-октябрь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1482" w:leader="none"/>
              </w:tabs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субъекты малого или среднего предпринимательства, самозанятые граждане</w:t>
            </w:r>
          </w:p>
        </w:tc>
      </w:tr>
      <w:tr>
        <w:trPr/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35.</w:t>
            </w:r>
          </w:p>
        </w:tc>
        <w:tc>
          <w:tcPr>
            <w:tcW w:w="2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подъем Редаковский, 10 (Редаковское кладбище)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торговая палатка</w:t>
            </w:r>
          </w:p>
        </w:tc>
        <w:tc>
          <w:tcPr>
            <w:tcW w:w="1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универсальная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апрель-октябрь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1482" w:leader="none"/>
              </w:tabs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субъекты малого или среднего предпринимательства, самозанятые граждане</w:t>
            </w:r>
          </w:p>
        </w:tc>
      </w:tr>
    </w:tbl>
    <w:p>
      <w:pPr>
        <w:pStyle w:val="Normal"/>
        <w:spacing w:lineRule="auto" w:line="240" w:before="0" w:after="0"/>
        <w:ind w:firstLine="709"/>
        <w:jc w:val="right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»;</w:t>
      </w:r>
    </w:p>
    <w:p>
      <w:pPr>
        <w:pStyle w:val="Normal"/>
        <w:spacing w:lineRule="auto" w:line="240" w:before="0" w:after="0"/>
        <w:ind w:firstLine="567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 xml:space="preserve">5.2. В разделе </w:t>
      </w:r>
      <w:r>
        <w:rPr>
          <w:rFonts w:ascii="Tinos" w:hAnsi="Tinos"/>
          <w:color w:val="000000"/>
          <w:sz w:val="28"/>
          <w:szCs w:val="28"/>
          <w:lang w:val="en-US"/>
        </w:rPr>
        <w:t>II</w:t>
      </w:r>
      <w:r>
        <w:rPr>
          <w:rFonts w:ascii="Tinos" w:hAnsi="Tinos"/>
          <w:color w:val="000000"/>
          <w:sz w:val="28"/>
          <w:szCs w:val="28"/>
        </w:rPr>
        <w:t xml:space="preserve"> «Графическая часть»:</w:t>
      </w:r>
    </w:p>
    <w:p>
      <w:pPr>
        <w:pStyle w:val="Normal"/>
        <w:spacing w:lineRule="auto" w:line="240" w:before="0" w:after="0"/>
        <w:ind w:firstLine="567"/>
        <w:jc w:val="both"/>
        <w:rPr>
          <w:rFonts w:ascii="Tinos" w:hAnsi="Tinos"/>
          <w:color w:val="000000"/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1) подраздел 2 «Куйбышевский район» дополнить таблицами и схемами мест размещения с условными обозначениями порядковых номеров пунктов 34, 35 текстового раздела схемы следующего содержания:</w:t>
      </w:r>
    </w:p>
    <w:p>
      <w:pPr>
        <w:pStyle w:val="Normal"/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</w:rPr>
        <w:t>«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84"/>
        <w:gridCol w:w="3552"/>
      </w:tblGrid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</w:tr>
      <w:tr>
        <w:trPr>
          <w:trHeight w:val="440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Адресные ориентиры размещения нестационарного сезонного объекта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подъем Редаковский, 10 (Редаковское кладбище)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размещения нестационарного сезонного объекта торговли (кв. м)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сезонного объекта торговли (кв.м)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Тип нестационарного сезонного объекта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торговая палатка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универсальная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Период размещения нестационарного сезонного объекта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апрель-октябрь</w:t>
            </w:r>
          </w:p>
        </w:tc>
      </w:tr>
      <w:tr>
        <w:trPr>
          <w:trHeight w:val="1160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Информация об использовании нестационарного сезонного объекта торговли субъектами малого или среднего предпринимательства, осуществляющими торговую деятельность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субъекты малого или среднего предпринимательства</w:t>
            </w:r>
          </w:p>
        </w:tc>
      </w:tr>
    </w:tbl>
    <w:p>
      <w:pPr>
        <w:pStyle w:val="Normal"/>
        <w:ind w:right="-1"/>
        <w:jc w:val="center"/>
        <w:rPr>
          <w:rFonts w:ascii="Calibri" w:hAnsi="Calibri" w:eastAsia="Calibri"/>
        </w:rPr>
      </w:pPr>
      <w:r>
        <w:rPr>
          <w:rFonts w:eastAsia="Calibri"/>
        </w:rPr>
      </w:r>
    </w:p>
    <w:p>
      <w:pPr>
        <w:pStyle w:val="Normal"/>
        <w:spacing w:lineRule="auto" w:line="240" w:before="0" w:after="120"/>
        <w:jc w:val="center"/>
        <w:rPr>
          <w:rFonts w:ascii="Calibri" w:hAnsi="Calibri" w:eastAsia="Calibri"/>
        </w:rPr>
      </w:pPr>
      <w:r>
        <w:rPr/>
        <w:drawing>
          <wp:inline distT="0" distB="0" distL="0" distR="0">
            <wp:extent cx="5934075" cy="4048125"/>
            <wp:effectExtent l="0" t="0" r="0" b="0"/>
            <wp:docPr id="14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4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964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544"/>
        <w:gridCol w:w="6095"/>
      </w:tblGrid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Условные обозначения:</w: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6350" distB="6350" distL="6350" distR="6350" simplePos="0" locked="0" layoutInCell="1" allowOverlap="1" relativeHeight="1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101600</wp:posOffset>
                      </wp:positionV>
                      <wp:extent cx="763270" cy="0"/>
                      <wp:effectExtent l="6350" t="6350" r="6350" b="6350"/>
                      <wp:wrapNone/>
                      <wp:docPr id="15" name="Фигура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0" cy="0"/>
                              </a:xfrm>
                              <a:prstGeom prst="line">
                                <a:avLst/>
                              </a:prstGeom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.5pt,8pt" to="64.55pt,8pt" ID="Фигура9" stroked="t" o:allowincell="f" style="position:absolute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граница места размещения нестационарного сезонного объекта торговли</w:t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45720" distB="45085" distL="0" distR="635" simplePos="0" locked="0" layoutInCell="1" allowOverlap="1" relativeHeight="12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314960</wp:posOffset>
                      </wp:positionV>
                      <wp:extent cx="795020" cy="635"/>
                      <wp:effectExtent l="0" t="45720" r="635" b="45085"/>
                      <wp:wrapNone/>
                      <wp:docPr id="16" name="Фигура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488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560">
                                <a:solidFill>
                                  <a:srgbClr val="000000"/>
                                </a:solidFill>
                                <a:round/>
                                <a:headEnd len="med" type="arrow" w="med"/>
                                <a:tailEnd len="med" type="arrow" w="me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Фигура10" path="m0,0l-2147483648,-2147483647e" stroked="t" o:allowincell="f" style="position:absolute;margin-left:2pt;margin-top:24.8pt;width:62.55pt;height:0pt;mso-wrap-style:none;v-text-anchor:middle" type="_x0000_t32">
                      <v:fill o:detectmouseclick="t" on="false"/>
                      <v:stroke color="black" weight="25560" startarrow="open" endarrow="open" startarrowwidth="medium" startarrowlength="medium" endarrowwidth="medium" endarrowlength="medium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строительства.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»;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color w:val="000000"/>
          <w:shd w:fill="FF0000" w:val="clear"/>
        </w:rPr>
      </w:pPr>
      <w:r>
        <w:rPr>
          <w:rFonts w:ascii="Times New Roman" w:hAnsi="Times New Roman"/>
          <w:color w:val="000000"/>
          <w:shd w:fill="FF0000" w:val="clear"/>
        </w:rPr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«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84"/>
        <w:gridCol w:w="3552"/>
      </w:tblGrid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Порядковый номер пункта текстового раздела схемы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</w:tr>
      <w:tr>
        <w:trPr>
          <w:trHeight w:val="440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Адресные ориентиры размещения нестационарного сезонного объекта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подъем Редаковский, 10 (Редаковское кладбище)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размещения нестационарного сезонного объекта торговли (кв. м)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Площадь земельного участка, земель или части земельного участка, необходимая для размещения нестационарного сезонного объекта торговли (кв.м)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Тип нестационарного сезонного объекта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торговая палатка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Специализация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универсальная</w:t>
            </w:r>
          </w:p>
        </w:tc>
      </w:tr>
      <w:tr>
        <w:trPr>
          <w:trHeight w:val="281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Период размещения нестационарного сезонного объекта торговли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апрель-октябрь</w:t>
            </w:r>
          </w:p>
        </w:tc>
      </w:tr>
      <w:tr>
        <w:trPr>
          <w:trHeight w:val="1160" w:hRule="atLeast"/>
        </w:trPr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Информация об использовании нестационарного сезонного объекта торговли субъектами малого или среднего предпринимательства, осуществляющими торговую деятельность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субъекты малого или среднего предпринимательства</w:t>
            </w:r>
          </w:p>
        </w:tc>
      </w:tr>
    </w:tbl>
    <w:p>
      <w:pPr>
        <w:pStyle w:val="Normal"/>
        <w:ind w:right="-1"/>
        <w:jc w:val="center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Calibri"/>
        </w:rPr>
      </w:pPr>
      <w:r>
        <w:rPr/>
        <w:drawing>
          <wp:inline distT="0" distB="0" distL="0" distR="0">
            <wp:extent cx="5676900" cy="2752725"/>
            <wp:effectExtent l="0" t="0" r="0" b="0"/>
            <wp:docPr id="17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75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</w:r>
    </w:p>
    <w:tbl>
      <w:tblPr>
        <w:tblW w:w="964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544"/>
        <w:gridCol w:w="6095"/>
      </w:tblGrid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Условные обозначения:</w: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6350" distB="6350" distL="6350" distR="6350" simplePos="0" locked="0" layoutInCell="1" allowOverlap="1" relativeHeight="9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101600</wp:posOffset>
                      </wp:positionV>
                      <wp:extent cx="763270" cy="0"/>
                      <wp:effectExtent l="6350" t="6350" r="6350" b="6350"/>
                      <wp:wrapNone/>
                      <wp:docPr id="18" name="Прямая соединительная линия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200" cy="0"/>
                              </a:xfrm>
                              <a:prstGeom prst="line">
                                <a:avLst/>
                              </a:prstGeom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.5pt,8pt" to="64.55pt,8pt" ID="Прямая соединительная линия 4" stroked="t" o:allowincell="f" style="position:absolute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граница места размещения нестационарного сезонного объекта торговли</w:t>
            </w:r>
          </w:p>
        </w:tc>
      </w:tr>
      <w:tr>
        <w:trPr/>
        <w:tc>
          <w:tcPr>
            <w:tcW w:w="354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mc:AlternateContent>
                <mc:Choice Requires="wps">
                  <w:drawing>
                    <wp:anchor behindDoc="0" distT="45720" distB="45085" distL="0" distR="635" simplePos="0" locked="0" layoutInCell="1" allowOverlap="1" relativeHeight="10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314960</wp:posOffset>
                      </wp:positionV>
                      <wp:extent cx="795020" cy="635"/>
                      <wp:effectExtent l="0" t="45720" r="635" b="45085"/>
                      <wp:wrapNone/>
                      <wp:docPr id="19" name="Прямая со стрелко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488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560">
                                <a:solidFill>
                                  <a:srgbClr val="000000"/>
                                </a:solidFill>
                                <a:round/>
                                <a:headEnd len="med" type="arrow" w="med"/>
                                <a:tailEnd len="med" type="arrow" w="me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ая со стрелкой 2" path="m0,0l-2147483648,-2147483647e" stroked="t" o:allowincell="f" style="position:absolute;margin-left:2pt;margin-top:24.8pt;width:62.55pt;height:0pt;mso-wrap-style:none;v-text-anchor:middle" type="_x0000_t32">
                      <v:fill o:detectmouseclick="t" on="false"/>
                      <v:stroke color="black" weight="25560" startarrow="open" endarrow="open" startarrowwidth="medium" startarrowlength="medium" endarrowwidth="medium" endarrowlength="medium" joinstyle="round" endcap="flat"/>
                      <w10:wrap type="none"/>
                    </v:shape>
                  </w:pict>
                </mc:Fallback>
              </mc:AlternateContent>
            </w:r>
          </w:p>
        </w:tc>
        <w:tc>
          <w:tcPr>
            <w:tcW w:w="609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расстояние до  существующих элементов благоустройства, дорожных знаков, светофоров, объектов капитального строительства.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eastAsia="Calibri"/>
          <w:sz w:val="28"/>
          <w:szCs w:val="28"/>
        </w:rPr>
      </w:pPr>
      <w:bookmarkStart w:id="4" w:name="_GoBack"/>
      <w:bookmarkEnd w:id="4"/>
      <w:r>
        <w:rPr>
          <w:rFonts w:eastAsia="Calibri" w:ascii="Times New Roman" w:hAnsi="Times New Roman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985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26"/>
        <w:gridCol w:w="4926"/>
      </w:tblGrid>
      <w:tr>
        <w:trPr/>
        <w:tc>
          <w:tcPr>
            <w:tcW w:w="492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города по экономическим вопросам</w:t>
            </w:r>
          </w:p>
        </w:tc>
        <w:tc>
          <w:tcPr>
            <w:tcW w:w="4926" w:type="dxa"/>
            <w:tcBorders/>
            <w:shd w:color="auto"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И.С. Прошунина</w:t>
            </w:r>
          </w:p>
        </w:tc>
      </w:tr>
    </w:tbl>
    <w:p>
      <w:pPr>
        <w:pStyle w:val="Normal"/>
        <w:spacing w:lineRule="auto" w:line="259" w:before="0" w:after="160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4"/>
          <w:szCs w:val="4"/>
        </w:rPr>
      </w:r>
    </w:p>
    <w:p>
      <w:pPr>
        <w:pStyle w:val="Normal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jc w:val="center"/>
        <w:rPr>
          <w:rFonts w:ascii="Tinos" w:hAnsi="Tinos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1418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11</w:t>
    </w:r>
    <w:r>
      <w:rPr>
        <w:rFonts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d7a8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ad7a8d"/>
    <w:rPr>
      <w:rFonts w:ascii="Calibri" w:hAnsi="Calibri" w:eastAsia="Calibri" w:cs="Times New Roman"/>
      <w:sz w:val="20"/>
      <w:szCs w:val="20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ad7a8d"/>
    <w:rPr>
      <w:rFonts w:ascii="Tahoma" w:hAnsi="Tahoma" w:eastAsia="Calibri" w:cs="Tahoma"/>
      <w:sz w:val="16"/>
      <w:szCs w:val="16"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ad7a8d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ad7a8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ad7a8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8" w:customStyle="1">
    <w:name w:val="Верхний колонтитул слева"/>
    <w:basedOn w:val="Header"/>
    <w:qFormat/>
    <w:pPr/>
    <w:rPr/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Style21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1341</TotalTime>
  <Application>LibreOffice/24.8.4.2$Linux_X86_64 LibreOffice_project/480$Build-2</Application>
  <AppVersion>15.0000</AppVersion>
  <Pages>11</Pages>
  <Words>1356</Words>
  <Characters>10877</Characters>
  <CharactersWithSpaces>12059</CharactersWithSpaces>
  <Paragraphs>222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2024-04-15T10:06:00Z</dcterms:created>
  <dc:creator>user1</dc:creator>
  <dc:description/>
  <dc:language>ru-RU</dc:language>
  <cp:lastModifiedBy/>
  <cp:lastPrinted>2026-10-15T10:43:36Z</cp:lastPrinted>
  <dcterms:modified xsi:type="dcterms:W3CDTF">2026-10-16T08:21:23Z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